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margin" w:tblpY="1456"/>
        <w:tblW w:w="136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11"/>
        <w:gridCol w:w="1511"/>
        <w:gridCol w:w="1512"/>
        <w:gridCol w:w="1512"/>
        <w:gridCol w:w="1513"/>
        <w:gridCol w:w="1512"/>
        <w:gridCol w:w="1512"/>
        <w:gridCol w:w="1512"/>
        <w:gridCol w:w="1513"/>
      </w:tblGrid>
      <w:tr w:rsidR="00724810" w:rsidTr="0052344C"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AC2460" w:rsidRPr="00EA56D6" w:rsidRDefault="00AC2460" w:rsidP="00724810">
            <w:pPr>
              <w:spacing w:before="0"/>
              <w:rPr>
                <w:rFonts w:ascii="Palatino Linotype" w:hAnsi="Palatino Linotype"/>
                <w:sz w:val="16"/>
                <w:szCs w:val="16"/>
              </w:rPr>
            </w:pPr>
            <w:r w:rsidRPr="00EA56D6">
              <w:rPr>
                <w:rFonts w:ascii="Palatino Linotype" w:hAnsi="Palatino Linotype"/>
                <w:sz w:val="16"/>
                <w:szCs w:val="16"/>
              </w:rPr>
              <w:t>Provincia (N° de Ley)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AC2460" w:rsidRPr="00EA56D6" w:rsidRDefault="00AC2460" w:rsidP="00724810">
            <w:pPr>
              <w:spacing w:before="0"/>
              <w:rPr>
                <w:rFonts w:ascii="Palatino Linotype" w:hAnsi="Palatino Linotype"/>
                <w:sz w:val="16"/>
                <w:szCs w:val="16"/>
              </w:rPr>
            </w:pPr>
            <w:r w:rsidRPr="00EA56D6">
              <w:rPr>
                <w:rFonts w:ascii="Palatino Linotype" w:hAnsi="Palatino Linotype"/>
                <w:sz w:val="16"/>
                <w:szCs w:val="16"/>
              </w:rPr>
              <w:t>Fecha de Aprobación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AC2460" w:rsidRPr="00EA56D6" w:rsidRDefault="0052320A" w:rsidP="00724810">
            <w:pPr>
              <w:spacing w:before="0"/>
              <w:rPr>
                <w:rFonts w:ascii="Palatino Linotype" w:hAnsi="Palatino Linotype"/>
                <w:sz w:val="16"/>
                <w:szCs w:val="16"/>
              </w:rPr>
            </w:pPr>
            <w:r w:rsidRPr="00EA56D6">
              <w:rPr>
                <w:rFonts w:ascii="Palatino Linotype" w:hAnsi="Palatino Linotype"/>
                <w:sz w:val="16"/>
                <w:szCs w:val="16"/>
              </w:rPr>
              <w:t>Actualización*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AC2460" w:rsidRPr="00EA56D6" w:rsidRDefault="00C73D7D" w:rsidP="00724810">
            <w:pPr>
              <w:spacing w:before="0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CSA considerados</w:t>
            </w:r>
            <w:r w:rsidR="0052320A" w:rsidRPr="00EA56D6">
              <w:rPr>
                <w:rFonts w:ascii="Palatino Linotype" w:hAnsi="Palatino Linotype"/>
                <w:sz w:val="16"/>
                <w:szCs w:val="16"/>
              </w:rPr>
              <w:t>**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:rsidR="00AC2460" w:rsidRPr="00EA56D6" w:rsidRDefault="00AC2460" w:rsidP="00724810">
            <w:pPr>
              <w:spacing w:before="0"/>
              <w:rPr>
                <w:rFonts w:ascii="Palatino Linotype" w:hAnsi="Palatino Linotype"/>
                <w:sz w:val="16"/>
                <w:szCs w:val="16"/>
              </w:rPr>
            </w:pPr>
            <w:r w:rsidRPr="00EA56D6">
              <w:rPr>
                <w:rFonts w:ascii="Palatino Linotype" w:hAnsi="Palatino Linotype"/>
                <w:sz w:val="16"/>
                <w:szCs w:val="16"/>
              </w:rPr>
              <w:t>Superficie en Categoría I (ha)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AC2460" w:rsidRPr="00EA56D6" w:rsidRDefault="00AC2460" w:rsidP="00724810">
            <w:pPr>
              <w:spacing w:before="0"/>
              <w:rPr>
                <w:rFonts w:ascii="Palatino Linotype" w:hAnsi="Palatino Linotype"/>
                <w:sz w:val="16"/>
                <w:szCs w:val="16"/>
              </w:rPr>
            </w:pPr>
            <w:r w:rsidRPr="00EA56D6">
              <w:rPr>
                <w:rFonts w:ascii="Palatino Linotype" w:hAnsi="Palatino Linotype"/>
                <w:sz w:val="16"/>
                <w:szCs w:val="16"/>
              </w:rPr>
              <w:t>Superficie en Categoría II (ha)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AC2460" w:rsidRPr="00EA56D6" w:rsidRDefault="00AC2460" w:rsidP="00724810">
            <w:pPr>
              <w:spacing w:before="0"/>
              <w:rPr>
                <w:rFonts w:ascii="Palatino Linotype" w:hAnsi="Palatino Linotype"/>
                <w:sz w:val="16"/>
                <w:szCs w:val="16"/>
              </w:rPr>
            </w:pPr>
            <w:r w:rsidRPr="00EA56D6">
              <w:rPr>
                <w:rFonts w:ascii="Palatino Linotype" w:hAnsi="Palatino Linotype"/>
                <w:sz w:val="16"/>
                <w:szCs w:val="16"/>
              </w:rPr>
              <w:t>Superficie en Categoría III (ha)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AC2460" w:rsidRPr="00EA56D6" w:rsidRDefault="00AC2460" w:rsidP="00724810">
            <w:pPr>
              <w:spacing w:before="0"/>
              <w:rPr>
                <w:rFonts w:ascii="Palatino Linotype" w:hAnsi="Palatino Linotype"/>
                <w:sz w:val="16"/>
                <w:szCs w:val="16"/>
              </w:rPr>
            </w:pPr>
            <w:r w:rsidRPr="00EA56D6">
              <w:rPr>
                <w:rFonts w:ascii="Palatino Linotype" w:hAnsi="Palatino Linotype"/>
                <w:sz w:val="16"/>
                <w:szCs w:val="16"/>
              </w:rPr>
              <w:t>Redefinición de restricciones</w:t>
            </w:r>
            <w:r w:rsidR="0052320A" w:rsidRPr="00EA56D6">
              <w:rPr>
                <w:rFonts w:ascii="Palatino Linotype" w:hAnsi="Palatino Linotype"/>
                <w:sz w:val="16"/>
                <w:szCs w:val="16"/>
              </w:rPr>
              <w:t>***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:rsidR="00AC2460" w:rsidRPr="00EA56D6" w:rsidRDefault="00AC2460" w:rsidP="00724810">
            <w:pPr>
              <w:spacing w:before="0"/>
              <w:rPr>
                <w:rFonts w:ascii="Palatino Linotype" w:hAnsi="Palatino Linotype"/>
                <w:sz w:val="16"/>
                <w:szCs w:val="16"/>
              </w:rPr>
            </w:pPr>
            <w:r w:rsidRPr="00EA56D6">
              <w:rPr>
                <w:rFonts w:ascii="Palatino Linotype" w:hAnsi="Palatino Linotype"/>
                <w:sz w:val="16"/>
                <w:szCs w:val="16"/>
              </w:rPr>
              <w:t>Participación de actores sociales</w:t>
            </w:r>
            <w:r w:rsidR="0052320A" w:rsidRPr="00EA56D6">
              <w:rPr>
                <w:rFonts w:ascii="Palatino Linotype" w:hAnsi="Palatino Linotype"/>
                <w:sz w:val="16"/>
                <w:szCs w:val="16"/>
              </w:rPr>
              <w:t>****</w:t>
            </w:r>
          </w:p>
        </w:tc>
      </w:tr>
      <w:tr w:rsidR="0052344C" w:rsidTr="00DB72F0">
        <w:tc>
          <w:tcPr>
            <w:tcW w:w="1029" w:type="dxa"/>
            <w:tcBorders>
              <w:top w:val="single" w:sz="4" w:space="0" w:color="auto"/>
              <w:bottom w:val="nil"/>
            </w:tcBorders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Catamarca (N° 5.311)</w:t>
            </w:r>
          </w:p>
        </w:tc>
        <w:tc>
          <w:tcPr>
            <w:tcW w:w="1029" w:type="dxa"/>
            <w:tcBorders>
              <w:top w:val="single" w:sz="4" w:space="0" w:color="auto"/>
              <w:bottom w:val="nil"/>
            </w:tcBorders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  <w:t>09/09/2010</w:t>
            </w:r>
          </w:p>
        </w:tc>
        <w:tc>
          <w:tcPr>
            <w:tcW w:w="1029" w:type="dxa"/>
            <w:tcBorders>
              <w:top w:val="single" w:sz="4" w:space="0" w:color="auto"/>
              <w:bottom w:val="nil"/>
            </w:tcBorders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En desarrollo</w:t>
            </w:r>
          </w:p>
        </w:tc>
        <w:tc>
          <w:tcPr>
            <w:tcW w:w="1029" w:type="dxa"/>
            <w:tcBorders>
              <w:top w:val="single" w:sz="4" w:space="0" w:color="auto"/>
              <w:bottom w:val="nil"/>
            </w:tcBorders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  <w:t>3/10</w:t>
            </w:r>
          </w:p>
        </w:tc>
        <w:tc>
          <w:tcPr>
            <w:tcW w:w="1030" w:type="dxa"/>
            <w:tcBorders>
              <w:top w:val="single" w:sz="4" w:space="0" w:color="auto"/>
              <w:bottom w:val="nil"/>
            </w:tcBorders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587123 (24%)</w:t>
            </w:r>
          </w:p>
        </w:tc>
        <w:tc>
          <w:tcPr>
            <w:tcW w:w="1029" w:type="dxa"/>
            <w:tcBorders>
              <w:top w:val="single" w:sz="4" w:space="0" w:color="auto"/>
              <w:bottom w:val="nil"/>
            </w:tcBorders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1543593 (63%)</w:t>
            </w:r>
          </w:p>
        </w:tc>
        <w:tc>
          <w:tcPr>
            <w:tcW w:w="1029" w:type="dxa"/>
            <w:tcBorders>
              <w:top w:val="single" w:sz="4" w:space="0" w:color="auto"/>
              <w:bottom w:val="nil"/>
            </w:tcBorders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302966 (13%)</w:t>
            </w:r>
          </w:p>
        </w:tc>
        <w:tc>
          <w:tcPr>
            <w:tcW w:w="1029" w:type="dxa"/>
            <w:tcBorders>
              <w:top w:val="single" w:sz="4" w:space="0" w:color="auto"/>
              <w:bottom w:val="nil"/>
            </w:tcBorders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nil"/>
            </w:tcBorders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EA56D6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Suministro de información</w:t>
            </w:r>
          </w:p>
        </w:tc>
      </w:tr>
      <w:tr w:rsidR="0052344C" w:rsidTr="00DB72F0">
        <w:trPr>
          <w:trHeight w:val="269"/>
        </w:trPr>
        <w:tc>
          <w:tcPr>
            <w:tcW w:w="1029" w:type="dxa"/>
            <w:tcBorders>
              <w:top w:val="nil"/>
            </w:tcBorders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Chaco (</w:t>
            </w: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N°6.409)</w:t>
            </w:r>
          </w:p>
        </w:tc>
        <w:tc>
          <w:tcPr>
            <w:tcW w:w="1029" w:type="dxa"/>
            <w:tcBorders>
              <w:top w:val="nil"/>
            </w:tcBorders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  <w:t>24/09/2009</w:t>
            </w:r>
          </w:p>
        </w:tc>
        <w:tc>
          <w:tcPr>
            <w:tcW w:w="1029" w:type="dxa"/>
            <w:tcBorders>
              <w:top w:val="nil"/>
            </w:tcBorders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En desarrollo</w:t>
            </w:r>
          </w:p>
        </w:tc>
        <w:tc>
          <w:tcPr>
            <w:tcW w:w="1029" w:type="dxa"/>
            <w:tcBorders>
              <w:top w:val="nil"/>
            </w:tcBorders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  <w:t>7/10</w:t>
            </w:r>
          </w:p>
        </w:tc>
        <w:tc>
          <w:tcPr>
            <w:tcW w:w="1030" w:type="dxa"/>
            <w:tcBorders>
              <w:top w:val="nil"/>
            </w:tcBorders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288038 (6%)</w:t>
            </w:r>
          </w:p>
        </w:tc>
        <w:tc>
          <w:tcPr>
            <w:tcW w:w="1029" w:type="dxa"/>
            <w:tcBorders>
              <w:top w:val="nil"/>
            </w:tcBorders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3100387 (63%)</w:t>
            </w:r>
          </w:p>
        </w:tc>
        <w:tc>
          <w:tcPr>
            <w:tcW w:w="1029" w:type="dxa"/>
            <w:tcBorders>
              <w:top w:val="nil"/>
            </w:tcBorders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1531575 (31%)</w:t>
            </w:r>
          </w:p>
        </w:tc>
        <w:tc>
          <w:tcPr>
            <w:tcW w:w="1029" w:type="dxa"/>
            <w:tcBorders>
              <w:top w:val="nil"/>
            </w:tcBorders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EA56D6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Perforaciones en Categoría II</w:t>
            </w:r>
            <w:r w:rsidR="00C51A34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: posibilidad de desmonte en un área restringida</w:t>
            </w:r>
          </w:p>
        </w:tc>
        <w:tc>
          <w:tcPr>
            <w:tcW w:w="1030" w:type="dxa"/>
            <w:tcBorders>
              <w:top w:val="nil"/>
            </w:tcBorders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Par</w:t>
            </w:r>
            <w:r w:rsidRPr="00EA56D6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t</w:t>
            </w: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icipación por consulta</w:t>
            </w:r>
          </w:p>
        </w:tc>
      </w:tr>
      <w:tr w:rsidR="0052344C" w:rsidTr="00DB72F0">
        <w:trPr>
          <w:trHeight w:val="101"/>
        </w:trPr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Córdoba (N°9.814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  <w:t>05/08/2010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En desarrollo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  <w:t>5/10</w:t>
            </w:r>
          </w:p>
        </w:tc>
        <w:tc>
          <w:tcPr>
            <w:tcW w:w="1030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2393791 (82%)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530194 (18%)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0 (0%)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30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Par</w:t>
            </w:r>
            <w:r w:rsidRPr="00EA56D6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t</w:t>
            </w: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icipación por consulta</w:t>
            </w:r>
          </w:p>
        </w:tc>
      </w:tr>
      <w:tr w:rsidR="0052344C" w:rsidTr="00DB72F0">
        <w:trPr>
          <w:trHeight w:val="235"/>
        </w:trPr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Formosa (N°1.552)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  <w:t>09/06/2010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En desarrollo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  <w:t>4/10</w:t>
            </w:r>
          </w:p>
        </w:tc>
        <w:tc>
          <w:tcPr>
            <w:tcW w:w="1030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409872 (9%)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719772 (16%)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3257625 (75%)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Cat</w:t>
            </w:r>
            <w:r w:rsidR="00C51A34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 xml:space="preserve">egoría III con </w:t>
            </w: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restricciones</w:t>
            </w:r>
            <w:r w:rsidR="00C51A34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 xml:space="preserve"> que impiden el desmonte total del predio.</w:t>
            </w:r>
          </w:p>
        </w:tc>
        <w:tc>
          <w:tcPr>
            <w:tcW w:w="1030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Suministro de información</w:t>
            </w:r>
          </w:p>
        </w:tc>
      </w:tr>
      <w:tr w:rsidR="0052344C" w:rsidTr="00DB72F0">
        <w:trPr>
          <w:trHeight w:val="383"/>
        </w:trPr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Jujuy (N°5.676</w:t>
            </w:r>
            <w:r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  <w:t>14/04/2011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En desarrollo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  <w:t>6/10</w:t>
            </w:r>
          </w:p>
        </w:tc>
        <w:tc>
          <w:tcPr>
            <w:tcW w:w="1030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213152 (18%)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832334 (69%)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163457 (13%)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</w:p>
        </w:tc>
        <w:tc>
          <w:tcPr>
            <w:tcW w:w="1030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Sin info</w:t>
            </w:r>
            <w:r w:rsidRPr="00EA56D6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rmación</w:t>
            </w:r>
          </w:p>
        </w:tc>
      </w:tr>
      <w:tr w:rsidR="0052344C" w:rsidTr="00DB72F0">
        <w:trPr>
          <w:trHeight w:val="383"/>
        </w:trPr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La Rioja (N° 9.711)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  <w:t>01/09/2015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Posterior a 2018</w:t>
            </w:r>
          </w:p>
        </w:tc>
        <w:tc>
          <w:tcPr>
            <w:tcW w:w="1029" w:type="dxa"/>
          </w:tcPr>
          <w:p w:rsidR="00453BF3" w:rsidRPr="00AC2460" w:rsidRDefault="0018683A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Sin información</w:t>
            </w:r>
          </w:p>
        </w:tc>
        <w:tc>
          <w:tcPr>
            <w:tcW w:w="1030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307401 (30%)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684642 (66%)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38778 (4%)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</w:p>
        </w:tc>
        <w:tc>
          <w:tcPr>
            <w:tcW w:w="1030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Sin info</w:t>
            </w:r>
            <w:r w:rsidRPr="00EA56D6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rmación</w:t>
            </w:r>
          </w:p>
        </w:tc>
      </w:tr>
      <w:tr w:rsidR="0052344C" w:rsidTr="00DB72F0">
        <w:trPr>
          <w:trHeight w:val="567"/>
        </w:trPr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Salta (</w:t>
            </w: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N° 7.543)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  <w:t>16/12/2008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En desarrollo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  <w:t>8/10</w:t>
            </w:r>
          </w:p>
        </w:tc>
        <w:tc>
          <w:tcPr>
            <w:tcW w:w="1030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1294778 (16%)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5393018 (65%)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1592366 (19%)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</w:p>
        </w:tc>
        <w:tc>
          <w:tcPr>
            <w:tcW w:w="1030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Participación por consulta</w:t>
            </w:r>
          </w:p>
        </w:tc>
      </w:tr>
      <w:tr w:rsidR="0052344C" w:rsidTr="00DB72F0">
        <w:trPr>
          <w:trHeight w:val="561"/>
        </w:trPr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San Luis (N° IX-0697-2009)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  <w:t>16/12/2009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En desarrollo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  <w:t>3/10</w:t>
            </w:r>
          </w:p>
        </w:tc>
        <w:tc>
          <w:tcPr>
            <w:tcW w:w="1030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526962 (17%)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1887363 (60%)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738305 (23%)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</w:p>
        </w:tc>
        <w:tc>
          <w:tcPr>
            <w:tcW w:w="1030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Sin info</w:t>
            </w:r>
            <w:r w:rsidRPr="00EA56D6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rmación</w:t>
            </w:r>
          </w:p>
        </w:tc>
      </w:tr>
      <w:tr w:rsidR="0052344C" w:rsidTr="00DB72F0">
        <w:trPr>
          <w:trHeight w:val="569"/>
        </w:trPr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Santa Fe (N° 13.372)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  <w:t>11/12/2013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Posterior a 2018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  <w:t>3/10</w:t>
            </w:r>
          </w:p>
        </w:tc>
        <w:tc>
          <w:tcPr>
            <w:tcW w:w="1030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663520 (36%)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1190271 (64%)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0 (0%)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30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Suministro de información</w:t>
            </w:r>
          </w:p>
        </w:tc>
      </w:tr>
      <w:tr w:rsidR="0052344C" w:rsidTr="00DB72F0">
        <w:trPr>
          <w:trHeight w:val="718"/>
        </w:trPr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Santiago del Estero (N° 6.942)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  <w:t>17/03/2009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Realizada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  <w:t>3/10</w:t>
            </w:r>
          </w:p>
        </w:tc>
        <w:tc>
          <w:tcPr>
            <w:tcW w:w="1030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1046172 (14%)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5645784 (74%)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952493 (12%)</w:t>
            </w:r>
          </w:p>
        </w:tc>
        <w:tc>
          <w:tcPr>
            <w:tcW w:w="1029" w:type="dxa"/>
          </w:tcPr>
          <w:p w:rsidR="00453BF3" w:rsidRPr="00AC2460" w:rsidRDefault="003D5D55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 xml:space="preserve">Puntos verdes </w:t>
            </w:r>
            <w:r w:rsidR="00C51A34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en Categoría II: posibilidad de desmonte en un área restringida</w:t>
            </w:r>
            <w:r w:rsidR="00453BF3"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.</w:t>
            </w:r>
          </w:p>
        </w:tc>
        <w:tc>
          <w:tcPr>
            <w:tcW w:w="1030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Participación por consulta</w:t>
            </w:r>
          </w:p>
        </w:tc>
      </w:tr>
      <w:tr w:rsidR="0052344C" w:rsidTr="00DB72F0">
        <w:trPr>
          <w:trHeight w:val="519"/>
        </w:trPr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Santiago del Estero-</w:t>
            </w: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actualizada (Decreto</w:t>
            </w:r>
            <w:r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 xml:space="preserve"> N°</w:t>
            </w: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3.133)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  <w:t>23/12/2015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Proceso de acredita</w:t>
            </w:r>
            <w:bookmarkStart w:id="0" w:name="_GoBack"/>
            <w:bookmarkEnd w:id="0"/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ción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  <w:t>10/10</w:t>
            </w:r>
          </w:p>
        </w:tc>
        <w:tc>
          <w:tcPr>
            <w:tcW w:w="1030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972.658 (14%)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5.836.563 (82%)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298.982 (4%)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 xml:space="preserve">Puntos verdes en Categoría </w:t>
            </w:r>
            <w:r w:rsidR="00C51A34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II: posibilidad de desmonte en un área restringida</w:t>
            </w: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.</w:t>
            </w:r>
          </w:p>
        </w:tc>
        <w:tc>
          <w:tcPr>
            <w:tcW w:w="1030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Participación interactiva</w:t>
            </w:r>
          </w:p>
        </w:tc>
      </w:tr>
      <w:tr w:rsidR="0052344C" w:rsidTr="00DB72F0"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Tucumán (</w:t>
            </w: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N°8.340)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  <w:t>24/06/2010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En desarrollo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  <w:t>5/10</w:t>
            </w:r>
          </w:p>
        </w:tc>
        <w:tc>
          <w:tcPr>
            <w:tcW w:w="1030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526638 (58%)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219413 (24%)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164461 (18%)</w:t>
            </w:r>
          </w:p>
        </w:tc>
        <w:tc>
          <w:tcPr>
            <w:tcW w:w="1029" w:type="dxa"/>
          </w:tcPr>
          <w:p w:rsidR="00453BF3" w:rsidRPr="00AC2460" w:rsidRDefault="00724810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Color marrón:</w:t>
            </w:r>
            <w:r w:rsidR="00453BF3"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 xml:space="preserve"> protección de pastizales</w:t>
            </w:r>
          </w:p>
        </w:tc>
        <w:tc>
          <w:tcPr>
            <w:tcW w:w="1030" w:type="dxa"/>
          </w:tcPr>
          <w:p w:rsidR="00453BF3" w:rsidRPr="00AC2460" w:rsidRDefault="002E206D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 xml:space="preserve">Participación </w:t>
            </w:r>
            <w:r w:rsidR="00453BF3"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Interactiva</w:t>
            </w:r>
          </w:p>
        </w:tc>
      </w:tr>
    </w:tbl>
    <w:p w:rsidR="0052344C" w:rsidRDefault="0052344C" w:rsidP="0018175F">
      <w:pPr>
        <w:spacing w:after="0"/>
        <w:rPr>
          <w:rFonts w:ascii="Palatino Linotype" w:hAnsi="Palatino Linotype"/>
        </w:rPr>
      </w:pPr>
    </w:p>
    <w:p w:rsidR="00DB72F0" w:rsidRDefault="00DB72F0" w:rsidP="00DB72F0">
      <w:pPr>
        <w:pStyle w:val="Normal1"/>
        <w:spacing w:before="120" w:after="120" w:line="240" w:lineRule="auto"/>
        <w:jc w:val="both"/>
        <w:rPr>
          <w:rFonts w:ascii="Palatino Linotype" w:hAnsi="Palatino Linotype"/>
          <w:sz w:val="20"/>
          <w:szCs w:val="20"/>
          <w:shd w:val="clear" w:color="auto" w:fill="FFFFFF"/>
        </w:rPr>
      </w:pPr>
      <w:r>
        <w:rPr>
          <w:rFonts w:ascii="Palatino Linotype" w:hAnsi="Palatino Linotype"/>
          <w:sz w:val="20"/>
          <w:szCs w:val="20"/>
          <w:shd w:val="clear" w:color="auto" w:fill="FFFFFF"/>
        </w:rPr>
        <w:t xml:space="preserve">Tabla 1. Principales características de los Ordenamientos Territoriales de Bosques Nativos de las provincias incluidas en la ecorregión Chaco Semiárido. Se incluye información de la fecha de aprobación y actualización de los OTBN, los Criterios de Sustentabilidad Ambiental considerados, superficie destinada a cada categoría de conservación, redefinición de restricciones y nivel de participación ciudadana </w:t>
      </w:r>
    </w:p>
    <w:p w:rsidR="009B6B0E" w:rsidRPr="0018175F" w:rsidRDefault="00520FE1" w:rsidP="0018175F">
      <w:pPr>
        <w:spacing w:after="0"/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</w:pPr>
      <w:r w:rsidRPr="0018175F">
        <w:rPr>
          <w:rFonts w:ascii="Palatino Linotype" w:hAnsi="Palatino Linotype"/>
        </w:rPr>
        <w:t>*</w:t>
      </w:r>
      <w:r w:rsidR="00F25742" w:rsidRPr="0018175F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En desarrollo:</w:t>
      </w:r>
      <w:r w:rsidRPr="0018175F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</w:t>
      </w:r>
      <w:r w:rsidR="00F25742" w:rsidRPr="0018175F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Existe </w:t>
      </w:r>
      <w:r w:rsidRPr="0018175F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información de</w:t>
      </w:r>
      <w:r w:rsidR="00F25742" w:rsidRPr="0018175F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su</w:t>
      </w:r>
      <w:r w:rsidRPr="0018175F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estado de avance. </w:t>
      </w:r>
      <w:r w:rsidR="00F25742" w:rsidRPr="0018175F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Posterior a 2018: L</w:t>
      </w:r>
      <w:r w:rsidRPr="0018175F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a actualización vence a partir de 2018. Realizada</w:t>
      </w:r>
      <w:r w:rsidR="00F25742" w:rsidRPr="0018175F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:</w:t>
      </w:r>
      <w:r w:rsidRPr="0018175F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Aprobada mediante ley provincial, sin </w:t>
      </w:r>
      <w:r w:rsidR="00F25742" w:rsidRPr="0018175F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embargo,</w:t>
      </w:r>
      <w:r w:rsidRPr="0018175F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no implica que esté acreditada ante la A</w:t>
      </w:r>
      <w:r w:rsidR="00DB72F0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utoridad </w:t>
      </w:r>
      <w:r w:rsidRPr="0018175F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N</w:t>
      </w:r>
      <w:r w:rsidR="00DB72F0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acional de </w:t>
      </w:r>
      <w:r w:rsidRPr="0018175F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A</w:t>
      </w:r>
      <w:r w:rsidR="00DB72F0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plicación</w:t>
      </w:r>
      <w:r w:rsidRPr="0018175F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.</w:t>
      </w:r>
    </w:p>
    <w:p w:rsidR="00F25742" w:rsidRPr="0018175F" w:rsidRDefault="00F25742" w:rsidP="0018175F">
      <w:pPr>
        <w:spacing w:before="0" w:after="0"/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</w:pPr>
      <w:r w:rsidRPr="0018175F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**Número de Criterios de Sustentabilidad Ambiental (CSA)</w:t>
      </w:r>
      <w:r w:rsidR="00C73D7D" w:rsidRPr="0018175F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considerados</w:t>
      </w:r>
      <w:r w:rsidRPr="0018175F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</w:t>
      </w:r>
      <w:r w:rsidR="00C73D7D" w:rsidRPr="0018175F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en los OTBN provinciales </w:t>
      </w:r>
      <w:r w:rsidRPr="0018175F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sobre el total de CSA existentes en los Presupuestos Mínimos de la Ley de Bosques (</w:t>
      </w:r>
      <w:proofErr w:type="spellStart"/>
      <w:r w:rsidR="00C73D7D" w:rsidRPr="0018175F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MAyDS</w:t>
      </w:r>
      <w:proofErr w:type="spellEnd"/>
      <w:r w:rsidR="00C73D7D" w:rsidRPr="0018175F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2016).</w:t>
      </w:r>
      <w:r w:rsidRPr="0018175F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AC2460" w:rsidRDefault="0018175F" w:rsidP="0018175F">
      <w:pPr>
        <w:spacing w:after="0"/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</w:pPr>
      <w:r w:rsidRPr="00103CCF">
        <w:rPr>
          <w:rFonts w:ascii="Palatino Linotype" w:hAnsi="Palatino Linotype"/>
        </w:rPr>
        <w:t>***</w:t>
      </w:r>
      <w:r w:rsidR="00103CCF" w:rsidRPr="00103CCF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Se refiere a características particulares de cada zonificación que modificaron el nivel de restricción a la deforestación definido por los Presupuestos Mínimos de la Ley de Bosques.</w:t>
      </w:r>
    </w:p>
    <w:p w:rsidR="00103CCF" w:rsidRDefault="00103CCF" w:rsidP="008D1E12">
      <w:pPr>
        <w:pStyle w:val="Normal1"/>
        <w:spacing w:before="120" w:after="120" w:line="240" w:lineRule="auto"/>
        <w:jc w:val="both"/>
        <w:rPr>
          <w:rFonts w:ascii="Palatino Linotype" w:hAnsi="Palatino Linotype"/>
          <w:sz w:val="20"/>
          <w:szCs w:val="20"/>
          <w:shd w:val="clear" w:color="auto" w:fill="FFFFFF"/>
        </w:rPr>
      </w:pPr>
      <w:r>
        <w:rPr>
          <w:rFonts w:ascii="Palatino Linotype" w:hAnsi="Palatino Linotype"/>
          <w:sz w:val="20"/>
          <w:szCs w:val="20"/>
          <w:shd w:val="clear" w:color="auto" w:fill="FFFFFF"/>
        </w:rPr>
        <w:t>****Mecanismos de participación implementados en cada OTBN.</w:t>
      </w:r>
      <w:r w:rsidR="00006B26">
        <w:rPr>
          <w:rFonts w:ascii="Palatino Linotype" w:hAnsi="Palatino Linotype"/>
          <w:sz w:val="20"/>
          <w:szCs w:val="20"/>
          <w:shd w:val="clear" w:color="auto" w:fill="FFFFFF"/>
        </w:rPr>
        <w:t xml:space="preserve"> Las categorías fueron asignadas por los autores a partir de la revisión de los informes de las A</w:t>
      </w:r>
      <w:r w:rsidR="00DB72F0">
        <w:rPr>
          <w:rFonts w:ascii="Palatino Linotype" w:hAnsi="Palatino Linotype"/>
          <w:sz w:val="20"/>
          <w:szCs w:val="20"/>
          <w:shd w:val="clear" w:color="auto" w:fill="FFFFFF"/>
        </w:rPr>
        <w:t xml:space="preserve">utoridad </w:t>
      </w:r>
      <w:r w:rsidR="00006B26">
        <w:rPr>
          <w:rFonts w:ascii="Palatino Linotype" w:hAnsi="Palatino Linotype"/>
          <w:sz w:val="20"/>
          <w:szCs w:val="20"/>
          <w:shd w:val="clear" w:color="auto" w:fill="FFFFFF"/>
        </w:rPr>
        <w:t>L</w:t>
      </w:r>
      <w:r w:rsidR="00DB72F0">
        <w:rPr>
          <w:rFonts w:ascii="Palatino Linotype" w:hAnsi="Palatino Linotype"/>
          <w:sz w:val="20"/>
          <w:szCs w:val="20"/>
          <w:shd w:val="clear" w:color="auto" w:fill="FFFFFF"/>
        </w:rPr>
        <w:t xml:space="preserve">ocal de </w:t>
      </w:r>
      <w:r w:rsidR="00006B26">
        <w:rPr>
          <w:rFonts w:ascii="Palatino Linotype" w:hAnsi="Palatino Linotype"/>
          <w:sz w:val="20"/>
          <w:szCs w:val="20"/>
          <w:shd w:val="clear" w:color="auto" w:fill="FFFFFF"/>
        </w:rPr>
        <w:t>A</w:t>
      </w:r>
      <w:r w:rsidR="00DB72F0">
        <w:rPr>
          <w:rFonts w:ascii="Palatino Linotype" w:hAnsi="Palatino Linotype"/>
          <w:sz w:val="20"/>
          <w:szCs w:val="20"/>
          <w:shd w:val="clear" w:color="auto" w:fill="FFFFFF"/>
        </w:rPr>
        <w:t>plicación</w:t>
      </w:r>
      <w:r w:rsidR="00006B26">
        <w:rPr>
          <w:rFonts w:ascii="Palatino Linotype" w:hAnsi="Palatino Linotype"/>
          <w:sz w:val="20"/>
          <w:szCs w:val="20"/>
          <w:shd w:val="clear" w:color="auto" w:fill="FFFFFF"/>
        </w:rPr>
        <w:t xml:space="preserve"> y las respuestas de la A</w:t>
      </w:r>
      <w:r w:rsidR="00DB72F0">
        <w:rPr>
          <w:rFonts w:ascii="Palatino Linotype" w:hAnsi="Palatino Linotype"/>
          <w:sz w:val="20"/>
          <w:szCs w:val="20"/>
          <w:shd w:val="clear" w:color="auto" w:fill="FFFFFF"/>
        </w:rPr>
        <w:t xml:space="preserve">utoridad </w:t>
      </w:r>
      <w:r w:rsidR="00006B26">
        <w:rPr>
          <w:rFonts w:ascii="Palatino Linotype" w:hAnsi="Palatino Linotype"/>
          <w:sz w:val="20"/>
          <w:szCs w:val="20"/>
          <w:shd w:val="clear" w:color="auto" w:fill="FFFFFF"/>
        </w:rPr>
        <w:t>N</w:t>
      </w:r>
      <w:r w:rsidR="00DB72F0">
        <w:rPr>
          <w:rFonts w:ascii="Palatino Linotype" w:hAnsi="Palatino Linotype"/>
          <w:sz w:val="20"/>
          <w:szCs w:val="20"/>
          <w:shd w:val="clear" w:color="auto" w:fill="FFFFFF"/>
        </w:rPr>
        <w:t xml:space="preserve">acional de </w:t>
      </w:r>
      <w:r w:rsidR="00006B26">
        <w:rPr>
          <w:rFonts w:ascii="Palatino Linotype" w:hAnsi="Palatino Linotype"/>
          <w:sz w:val="20"/>
          <w:szCs w:val="20"/>
          <w:shd w:val="clear" w:color="auto" w:fill="FFFFFF"/>
        </w:rPr>
        <w:t>A</w:t>
      </w:r>
      <w:r w:rsidR="00DB72F0">
        <w:rPr>
          <w:rFonts w:ascii="Palatino Linotype" w:hAnsi="Palatino Linotype"/>
          <w:sz w:val="20"/>
          <w:szCs w:val="20"/>
          <w:shd w:val="clear" w:color="auto" w:fill="FFFFFF"/>
        </w:rPr>
        <w:t>plicación</w:t>
      </w:r>
      <w:r w:rsidR="00006B26">
        <w:rPr>
          <w:rFonts w:ascii="Palatino Linotype" w:hAnsi="Palatino Linotype"/>
          <w:sz w:val="20"/>
          <w:szCs w:val="20"/>
          <w:shd w:val="clear" w:color="auto" w:fill="FFFFFF"/>
        </w:rPr>
        <w:t>.</w:t>
      </w:r>
      <w:r>
        <w:rPr>
          <w:rFonts w:ascii="Palatino Linotype" w:hAnsi="Palatino Linotype"/>
          <w:sz w:val="20"/>
          <w:szCs w:val="20"/>
          <w:shd w:val="clear" w:color="auto" w:fill="FFFFFF"/>
        </w:rPr>
        <w:t xml:space="preserve"> </w:t>
      </w:r>
      <w:r w:rsidRPr="00103CCF">
        <w:rPr>
          <w:rFonts w:ascii="Palatino Linotype" w:hAnsi="Palatino Linotype"/>
          <w:sz w:val="20"/>
          <w:szCs w:val="20"/>
          <w:shd w:val="clear" w:color="auto" w:fill="FFFFFF"/>
        </w:rPr>
        <w:t xml:space="preserve">Suministro de información: </w:t>
      </w:r>
      <w:r w:rsidR="00006B26" w:rsidRPr="00006B26">
        <w:rPr>
          <w:rFonts w:ascii="Palatino Linotype" w:hAnsi="Palatino Linotype"/>
          <w:sz w:val="20"/>
          <w:szCs w:val="20"/>
          <w:shd w:val="clear" w:color="auto" w:fill="FFFFFF"/>
        </w:rPr>
        <w:t>incluye la comunicación entre la autoridad de aplicación provincial y la ciudadanía por medio de folletería, spots radiales y televisivos, y/o respondiendo encuestas</w:t>
      </w:r>
      <w:r w:rsidRPr="00103CCF">
        <w:rPr>
          <w:rFonts w:ascii="Palatino Linotype" w:hAnsi="Palatino Linotype"/>
          <w:sz w:val="20"/>
          <w:szCs w:val="20"/>
          <w:shd w:val="clear" w:color="auto" w:fill="FFFFFF"/>
        </w:rPr>
        <w:t xml:space="preserve">. Participación por consulta: </w:t>
      </w:r>
      <w:r w:rsidR="008D1E12" w:rsidRPr="008D1E12">
        <w:rPr>
          <w:rFonts w:ascii="Palatino Linotype" w:hAnsi="Palatino Linotype"/>
          <w:sz w:val="20"/>
          <w:szCs w:val="20"/>
          <w:shd w:val="clear" w:color="auto" w:fill="FFFFFF"/>
        </w:rPr>
        <w:t>implementación de espacios de intercambio entre la autoridad de aplicación y los actores sociales tales como la audiencia pública y mecanismos de consulta pública no vinculantes.</w:t>
      </w:r>
      <w:r w:rsidRPr="00103CCF">
        <w:rPr>
          <w:rFonts w:ascii="Palatino Linotype" w:hAnsi="Palatino Linotype"/>
          <w:sz w:val="20"/>
          <w:szCs w:val="20"/>
          <w:shd w:val="clear" w:color="auto" w:fill="FFFFFF"/>
        </w:rPr>
        <w:t xml:space="preserve"> Participación interactiva: </w:t>
      </w:r>
      <w:r w:rsidR="008D1E12" w:rsidRPr="008D1E12">
        <w:rPr>
          <w:rFonts w:ascii="Palatino Linotype" w:hAnsi="Palatino Linotype"/>
          <w:sz w:val="20"/>
          <w:szCs w:val="20"/>
          <w:shd w:val="clear" w:color="auto" w:fill="FFFFFF"/>
        </w:rPr>
        <w:t xml:space="preserve">incluye la participación de los actores sociales en la definición de objetivos y en el desarrollo de las actividades en el marco de </w:t>
      </w:r>
      <w:r w:rsidRPr="00103CCF">
        <w:rPr>
          <w:rFonts w:ascii="Palatino Linotype" w:hAnsi="Palatino Linotype"/>
          <w:sz w:val="20"/>
          <w:szCs w:val="20"/>
          <w:shd w:val="clear" w:color="auto" w:fill="FFFFFF"/>
        </w:rPr>
        <w:t>talleres participativos vinculantes</w:t>
      </w:r>
      <w:r w:rsidR="008D1E12">
        <w:rPr>
          <w:rFonts w:ascii="Palatino Linotype" w:hAnsi="Palatino Linotype"/>
          <w:sz w:val="20"/>
          <w:szCs w:val="20"/>
          <w:shd w:val="clear" w:color="auto" w:fill="FFFFFF"/>
        </w:rPr>
        <w:t xml:space="preserve">. </w:t>
      </w:r>
    </w:p>
    <w:p w:rsidR="0099006B" w:rsidRDefault="0099006B" w:rsidP="008D1E12">
      <w:pPr>
        <w:pStyle w:val="Normal1"/>
        <w:spacing w:before="120" w:after="120" w:line="240" w:lineRule="auto"/>
        <w:jc w:val="both"/>
        <w:rPr>
          <w:rFonts w:ascii="Palatino Linotype" w:hAnsi="Palatino Linotype"/>
          <w:sz w:val="20"/>
          <w:szCs w:val="20"/>
          <w:shd w:val="clear" w:color="auto" w:fill="FFFFFF"/>
        </w:rPr>
      </w:pPr>
    </w:p>
    <w:p w:rsidR="00DB72F0" w:rsidRDefault="00DB72F0">
      <w:pPr>
        <w:pStyle w:val="Normal1"/>
        <w:spacing w:before="120" w:after="120" w:line="240" w:lineRule="auto"/>
        <w:jc w:val="both"/>
        <w:rPr>
          <w:rFonts w:ascii="Palatino Linotype" w:hAnsi="Palatino Linotype"/>
          <w:sz w:val="20"/>
          <w:szCs w:val="20"/>
          <w:shd w:val="clear" w:color="auto" w:fill="FFFFFF"/>
        </w:rPr>
      </w:pPr>
    </w:p>
    <w:sectPr w:rsidR="00DB72F0" w:rsidSect="0052344C">
      <w:pgSz w:w="15840" w:h="12240" w:orient="landscape"/>
      <w:pgMar w:top="127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6F8" w:rsidRDefault="001116F8" w:rsidP="0099006B">
      <w:pPr>
        <w:spacing w:before="0" w:after="0"/>
      </w:pPr>
      <w:r>
        <w:separator/>
      </w:r>
    </w:p>
  </w:endnote>
  <w:endnote w:type="continuationSeparator" w:id="0">
    <w:p w:rsidR="001116F8" w:rsidRDefault="001116F8" w:rsidP="0099006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6F8" w:rsidRDefault="001116F8" w:rsidP="0099006B">
      <w:pPr>
        <w:spacing w:before="0" w:after="0"/>
      </w:pPr>
      <w:r>
        <w:separator/>
      </w:r>
    </w:p>
  </w:footnote>
  <w:footnote w:type="continuationSeparator" w:id="0">
    <w:p w:rsidR="001116F8" w:rsidRDefault="001116F8" w:rsidP="0099006B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A8A"/>
    <w:rsid w:val="00006B26"/>
    <w:rsid w:val="00103CCF"/>
    <w:rsid w:val="001116F8"/>
    <w:rsid w:val="001403C7"/>
    <w:rsid w:val="00170823"/>
    <w:rsid w:val="0018175F"/>
    <w:rsid w:val="0018683A"/>
    <w:rsid w:val="001B46E5"/>
    <w:rsid w:val="002E206D"/>
    <w:rsid w:val="002E3AA1"/>
    <w:rsid w:val="00316A64"/>
    <w:rsid w:val="0035076F"/>
    <w:rsid w:val="003D5D55"/>
    <w:rsid w:val="00453BF3"/>
    <w:rsid w:val="004B26E8"/>
    <w:rsid w:val="00520FE1"/>
    <w:rsid w:val="0052264D"/>
    <w:rsid w:val="0052320A"/>
    <w:rsid w:val="0052344C"/>
    <w:rsid w:val="005D628C"/>
    <w:rsid w:val="006336F3"/>
    <w:rsid w:val="00645B3A"/>
    <w:rsid w:val="00724810"/>
    <w:rsid w:val="007656B2"/>
    <w:rsid w:val="00767E7E"/>
    <w:rsid w:val="007B7A8A"/>
    <w:rsid w:val="008D1E12"/>
    <w:rsid w:val="0099006B"/>
    <w:rsid w:val="00AC2460"/>
    <w:rsid w:val="00C51A34"/>
    <w:rsid w:val="00C73D7D"/>
    <w:rsid w:val="00CA7F36"/>
    <w:rsid w:val="00DB72F0"/>
    <w:rsid w:val="00E14EE5"/>
    <w:rsid w:val="00EA56D6"/>
    <w:rsid w:val="00EE2052"/>
    <w:rsid w:val="00F25742"/>
    <w:rsid w:val="00F74972"/>
    <w:rsid w:val="00F81CC7"/>
    <w:rsid w:val="00FF7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before="120"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8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B7A8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D1E12"/>
    <w:pPr>
      <w:spacing w:before="0" w:after="0" w:line="276" w:lineRule="auto"/>
    </w:pPr>
    <w:rPr>
      <w:rFonts w:ascii="Arial" w:eastAsia="Arial" w:hAnsi="Arial" w:cs="Arial"/>
      <w:color w:val="000000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99006B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99006B"/>
  </w:style>
  <w:style w:type="paragraph" w:styleId="Piedepgina">
    <w:name w:val="footer"/>
    <w:basedOn w:val="Normal"/>
    <w:link w:val="PiedepginaCar"/>
    <w:uiPriority w:val="99"/>
    <w:unhideWhenUsed/>
    <w:rsid w:val="0099006B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before="120"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8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B7A8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D1E12"/>
    <w:pPr>
      <w:spacing w:before="0" w:after="0" w:line="276" w:lineRule="auto"/>
    </w:pPr>
    <w:rPr>
      <w:rFonts w:ascii="Arial" w:eastAsia="Arial" w:hAnsi="Arial" w:cs="Arial"/>
      <w:color w:val="000000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99006B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99006B"/>
  </w:style>
  <w:style w:type="paragraph" w:styleId="Piedepgina">
    <w:name w:val="footer"/>
    <w:basedOn w:val="Normal"/>
    <w:link w:val="PiedepginaCar"/>
    <w:uiPriority w:val="99"/>
    <w:unhideWhenUsed/>
    <w:rsid w:val="0099006B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0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7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FE509-7AF0-4019-87D5-DC75A6983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3300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camba sans</dc:creator>
  <cp:keywords/>
  <dc:description/>
  <cp:lastModifiedBy>opac</cp:lastModifiedBy>
  <cp:revision>2</cp:revision>
  <dcterms:created xsi:type="dcterms:W3CDTF">2018-11-13T17:21:00Z</dcterms:created>
  <dcterms:modified xsi:type="dcterms:W3CDTF">2018-11-13T17:21:00Z</dcterms:modified>
</cp:coreProperties>
</file>